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val="0"/>
        <w:topLinePunct w:val="0"/>
        <w:autoSpaceDE/>
        <w:autoSpaceDN/>
        <w:bidi w:val="0"/>
        <w:adjustRightInd w:val="0"/>
        <w:snapToGrid w:val="0"/>
        <w:spacing w:line="360" w:lineRule="auto"/>
        <w:ind w:right="521"/>
        <w:jc w:val="center"/>
        <w:textAlignment w:val="auto"/>
        <w:outlineLvl w:val="9"/>
        <w:rPr>
          <w:rFonts w:hint="eastAsia" w:asciiTheme="majorEastAsia" w:hAnsiTheme="majorEastAsia" w:eastAsiaTheme="majorEastAsia" w:cstheme="majorEastAsia"/>
          <w:b/>
          <w:bCs/>
          <w:sz w:val="32"/>
          <w:szCs w:val="32"/>
          <w:lang w:val="en-US" w:eastAsia="zh-CN"/>
        </w:rPr>
      </w:pPr>
      <w:bookmarkStart w:id="0" w:name="_GoBack"/>
      <w:r>
        <w:rPr>
          <w:rFonts w:hint="eastAsia" w:asciiTheme="majorEastAsia" w:hAnsiTheme="majorEastAsia" w:eastAsiaTheme="majorEastAsia" w:cstheme="majorEastAsia"/>
          <w:b/>
          <w:bCs/>
          <w:sz w:val="44"/>
          <w:szCs w:val="44"/>
          <w:lang w:val="en-US" w:eastAsia="zh-CN"/>
        </w:rPr>
        <w:t>第三部分  名词解释</w:t>
      </w:r>
      <w:bookmarkEnd w:id="0"/>
    </w:p>
    <w:p>
      <w:pPr>
        <w:pStyle w:val="7"/>
        <w:keepNext w:val="0"/>
        <w:keepLines w:val="0"/>
        <w:pageBreakBefore w:val="0"/>
        <w:widowControl w:val="0"/>
        <w:numPr>
          <w:ilvl w:val="0"/>
          <w:numId w:val="0"/>
        </w:numPr>
        <w:wordWrap/>
        <w:topLinePunct w:val="0"/>
        <w:autoSpaceDE/>
        <w:autoSpaceDN/>
        <w:bidi w:val="0"/>
        <w:spacing w:line="580" w:lineRule="atLeast"/>
        <w:textAlignment w:val="auto"/>
        <w:outlineLvl w:val="9"/>
        <w:rPr>
          <w:rFonts w:hint="eastAsia" w:ascii="黑体" w:hAnsi="黑体" w:eastAsia="黑体"/>
          <w:sz w:val="32"/>
          <w:szCs w:val="32"/>
          <w:lang w:eastAsia="zh-CN"/>
        </w:rPr>
      </w:pPr>
      <w:r>
        <w:rPr>
          <w:rFonts w:hint="eastAsia" w:ascii="黑体" w:hAnsi="黑体" w:eastAsia="黑体"/>
          <w:sz w:val="32"/>
          <w:szCs w:val="32"/>
          <w:lang w:val="en-US" w:eastAsia="zh-CN"/>
        </w:rPr>
        <w:t xml:space="preserve">   </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黑体" w:hAnsi="黑体" w:eastAsia="黑体"/>
          <w:sz w:val="32"/>
          <w:szCs w:val="32"/>
        </w:rPr>
      </w:pPr>
      <w:r>
        <w:rPr>
          <w:rFonts w:hint="eastAsia" w:ascii="黑体" w:hAnsi="黑体" w:eastAsia="黑体"/>
          <w:sz w:val="32"/>
          <w:szCs w:val="32"/>
        </w:rPr>
        <w:t>1.转移支付</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仿宋" w:hAnsi="仿宋" w:eastAsia="仿宋"/>
          <w:sz w:val="32"/>
          <w:szCs w:val="32"/>
        </w:rPr>
      </w:pPr>
      <w:r>
        <w:rPr>
          <w:rFonts w:hint="eastAsia" w:ascii="仿宋" w:hAnsi="仿宋" w:eastAsia="仿宋"/>
          <w:sz w:val="32"/>
          <w:szCs w:val="32"/>
        </w:rPr>
        <w:t>中央政府（或上级政府）对地方政府（或下级政府）进行无偿的财政资金转移。转移支付包括一般性转移支付和专项转移支付。一般性转移支付，指中央政府（或上级政府）对有财力缺口的地方政府（或下级政府），按照规范的办法给予的补助，地方政府（或下级政府）可以按照相关规定统筹安排使用。专项转移支付，指中央政府（或上级政府）对承担委托事务、共同事务的地方政府（或下级政府），给予的具有指定用途的资金补助，以及对应当由地方政府（或下级政府）承担的事务，给予的具有指定用途的奖励或补助。</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黑体" w:hAnsi="黑体" w:eastAsia="黑体"/>
          <w:sz w:val="32"/>
          <w:szCs w:val="32"/>
        </w:rPr>
      </w:pPr>
      <w:r>
        <w:rPr>
          <w:rFonts w:hint="eastAsia" w:ascii="黑体" w:hAnsi="黑体" w:eastAsia="黑体"/>
          <w:sz w:val="32"/>
          <w:szCs w:val="32"/>
          <w:lang w:val="en-US" w:eastAsia="zh-CN"/>
        </w:rPr>
        <w:t>2</w:t>
      </w:r>
      <w:r>
        <w:rPr>
          <w:rFonts w:hint="eastAsia" w:ascii="黑体" w:hAnsi="黑体" w:eastAsia="黑体"/>
          <w:sz w:val="32"/>
          <w:szCs w:val="32"/>
        </w:rPr>
        <w:t>.税收返还</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仿宋" w:hAnsi="仿宋" w:eastAsia="仿宋"/>
          <w:sz w:val="32"/>
          <w:szCs w:val="32"/>
        </w:rPr>
      </w:pPr>
      <w:r>
        <w:rPr>
          <w:rFonts w:hint="eastAsia" w:ascii="仿宋" w:hAnsi="仿宋" w:eastAsia="仿宋"/>
          <w:sz w:val="32"/>
          <w:szCs w:val="32"/>
        </w:rPr>
        <w:t>现行中央对地方税收返还包括:增值税和消费税返还、所得税基数返还、成品油价格和税费改革税收返还。</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黑体" w:hAnsi="黑体" w:eastAsia="黑体"/>
          <w:sz w:val="32"/>
          <w:szCs w:val="32"/>
        </w:rPr>
      </w:pPr>
      <w:r>
        <w:rPr>
          <w:rFonts w:hint="eastAsia" w:ascii="黑体" w:hAnsi="黑体" w:eastAsia="黑体"/>
          <w:sz w:val="32"/>
          <w:szCs w:val="32"/>
          <w:lang w:val="en-US" w:eastAsia="zh-CN"/>
        </w:rPr>
        <w:t>3</w:t>
      </w:r>
      <w:r>
        <w:rPr>
          <w:rFonts w:hint="eastAsia" w:ascii="黑体" w:hAnsi="黑体" w:eastAsia="黑体"/>
          <w:sz w:val="32"/>
          <w:szCs w:val="32"/>
        </w:rPr>
        <w:t>.预算稳定调节基金</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仿宋" w:hAnsi="仿宋" w:eastAsia="仿宋"/>
          <w:sz w:val="32"/>
          <w:szCs w:val="32"/>
        </w:rPr>
      </w:pPr>
      <w:r>
        <w:rPr>
          <w:rFonts w:hint="eastAsia" w:ascii="仿宋" w:hAnsi="仿宋" w:eastAsia="仿宋"/>
          <w:sz w:val="32"/>
          <w:szCs w:val="32"/>
        </w:rPr>
        <w:t>是指一般公共预算年度执行中超收收入或结余资金安排的具有储备性质的基金，用于弥补以后年度预算资金的不足，以及视预算平衡情况，在安排年初预算时调入并安排使用。</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黑体" w:hAnsi="黑体" w:eastAsia="黑体"/>
          <w:sz w:val="32"/>
          <w:szCs w:val="32"/>
        </w:rPr>
      </w:pPr>
      <w:r>
        <w:rPr>
          <w:rFonts w:hint="eastAsia" w:ascii="黑体" w:hAnsi="黑体" w:eastAsia="黑体"/>
          <w:sz w:val="32"/>
          <w:szCs w:val="32"/>
          <w:lang w:val="en-US" w:eastAsia="zh-CN"/>
        </w:rPr>
        <w:t>4</w:t>
      </w:r>
      <w:r>
        <w:rPr>
          <w:rFonts w:hint="eastAsia" w:ascii="黑体" w:hAnsi="黑体" w:eastAsia="黑体"/>
          <w:sz w:val="32"/>
          <w:szCs w:val="32"/>
        </w:rPr>
        <w:t>.</w:t>
      </w:r>
      <w:r>
        <w:rPr>
          <w:rFonts w:hint="eastAsia" w:ascii="黑体" w:hAnsi="黑体" w:eastAsia="黑体"/>
          <w:sz w:val="32"/>
          <w:szCs w:val="32"/>
          <w:lang w:eastAsia="zh-CN"/>
        </w:rPr>
        <w:t>公务卡</w:t>
      </w:r>
    </w:p>
    <w:p>
      <w:pPr>
        <w:pStyle w:val="7"/>
        <w:keepNext w:val="0"/>
        <w:keepLines w:val="0"/>
        <w:pageBreakBefore w:val="0"/>
        <w:widowControl w:val="0"/>
        <w:wordWrap/>
        <w:topLinePunct w:val="0"/>
        <w:autoSpaceDE/>
        <w:autoSpaceDN/>
        <w:bidi w:val="0"/>
        <w:spacing w:line="580" w:lineRule="atLeast"/>
        <w:ind w:firstLine="624"/>
        <w:textAlignment w:val="auto"/>
        <w:outlineLvl w:val="9"/>
        <w:rPr>
          <w:rFonts w:hint="eastAsia" w:ascii="仿宋" w:hAnsi="仿宋" w:eastAsia="仿宋"/>
          <w:sz w:val="32"/>
          <w:szCs w:val="32"/>
        </w:rPr>
      </w:pPr>
      <w:r>
        <w:rPr>
          <w:rFonts w:hint="eastAsia" w:ascii="仿宋" w:hAnsi="仿宋" w:eastAsia="仿宋"/>
          <w:sz w:val="32"/>
          <w:szCs w:val="32"/>
        </w:rPr>
        <w:t>是预算单位人员持有的、主要用于日常公务支出和财务报销业务的信用卡。公务卡制度是以国库单一账户体系为基础，以银行卡为载体的现代财政支付管理制度，是现代财政国库管理制度体系的组成部分。公务卡的使用增加了公务支出的透明度，对加强“三公经费”管理、落实厉行节约反对浪费政策、推进源头防治腐败工作都具有重要意义。</w:t>
      </w:r>
    </w:p>
    <w:p>
      <w:pPr>
        <w:pStyle w:val="7"/>
        <w:keepNext w:val="0"/>
        <w:keepLines w:val="0"/>
        <w:pageBreakBefore w:val="0"/>
        <w:widowControl w:val="0"/>
        <w:numPr>
          <w:ilvl w:val="0"/>
          <w:numId w:val="0"/>
        </w:numPr>
        <w:wordWrap/>
        <w:topLinePunct w:val="0"/>
        <w:autoSpaceDE/>
        <w:autoSpaceDN/>
        <w:bidi w:val="0"/>
        <w:spacing w:line="580" w:lineRule="atLeast"/>
        <w:ind w:left="625" w:leftChars="0"/>
        <w:textAlignment w:val="auto"/>
        <w:outlineLvl w:val="9"/>
        <w:rPr>
          <w:rFonts w:hint="eastAsia" w:ascii="黑体" w:hAnsi="黑体" w:eastAsia="黑体"/>
          <w:sz w:val="32"/>
          <w:szCs w:val="32"/>
          <w:lang w:val="en-US" w:eastAsia="zh-CN"/>
        </w:rPr>
      </w:pPr>
      <w:r>
        <w:rPr>
          <w:rFonts w:hint="eastAsia" w:ascii="黑体" w:hAnsi="黑体" w:eastAsia="黑体"/>
          <w:sz w:val="32"/>
          <w:szCs w:val="32"/>
          <w:lang w:val="en-US" w:eastAsia="zh-CN"/>
        </w:rPr>
        <w:t>5.三公经费</w:t>
      </w:r>
    </w:p>
    <w:p>
      <w:pPr>
        <w:pStyle w:val="7"/>
        <w:keepNext w:val="0"/>
        <w:keepLines w:val="0"/>
        <w:pageBreakBefore w:val="0"/>
        <w:widowControl w:val="0"/>
        <w:numPr>
          <w:ilvl w:val="0"/>
          <w:numId w:val="0"/>
        </w:numPr>
        <w:wordWrap/>
        <w:topLinePunct w:val="0"/>
        <w:autoSpaceDE/>
        <w:autoSpaceDN/>
        <w:bidi w:val="0"/>
        <w:spacing w:line="580" w:lineRule="atLeast"/>
        <w:ind w:firstLine="480"/>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等支出，公务用车指用于履行公务的机动车，包括领导干部专车、一般公务用车和执法执勤车。（3）公务接待费，指单位按规定开支的各类公务接待（含外宾接待）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MS Gothic">
    <w:panose1 w:val="020B0609070205080204"/>
    <w:charset w:val="80"/>
    <w:family w:val="roman"/>
    <w:pitch w:val="default"/>
    <w:sig w:usb0="E00002FF" w:usb1="6AC7FDFB" w:usb2="00000012" w:usb3="00000000" w:csb0="4002009F" w:csb1="DFD70000"/>
  </w:font>
  <w:font w:name="楷体_GB2312">
    <w:altName w:val="楷体"/>
    <w:panose1 w:val="00000000000000000000"/>
    <w:charset w:val="01"/>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077B4"/>
    <w:rsid w:val="028077B4"/>
    <w:rsid w:val="11D953F0"/>
    <w:rsid w:val="13C521DC"/>
    <w:rsid w:val="155F65EF"/>
    <w:rsid w:val="1D596FCA"/>
    <w:rsid w:val="22A44777"/>
    <w:rsid w:val="2E6730C5"/>
    <w:rsid w:val="301031EB"/>
    <w:rsid w:val="3C234D51"/>
    <w:rsid w:val="50D87BCA"/>
    <w:rsid w:val="54AE12A7"/>
    <w:rsid w:val="61A44FA5"/>
    <w:rsid w:val="691C70C6"/>
    <w:rsid w:val="6C2544FD"/>
    <w:rsid w:val="763E0E0F"/>
    <w:rsid w:val="79C6486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spacing w:line="1044" w:lineRule="atLeast"/>
      <w:ind w:left="1"/>
    </w:pPr>
    <w:rPr>
      <w:color w:val="000000"/>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2018-10-14T13:42:00Z</dcterms:created>
  <dc:creator>User</dc:creator>
  <cp:lastModifiedBy>Administrator</cp:lastModifiedBy>
  <dcterms:modified xsi:type="dcterms:W3CDTF">2023-04-23T07:12:11Z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